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2009/222 vom 4. Mai 2011</w:t>
      </w:r>
    </w:p>
    <w:p>
      <w:r>
        <w:t>Sg Versicherungsgericht, 2011-05-04, DE</w:t>
      </w:r>
    </w:p>
    <w:p>
      <w:r>
        <w:rPr>
          <w:b/>
        </w:rPr>
        <w:t xml:space="preserve">Quelle: </w:t>
      </w:r>
      <w:r>
        <w:t>https://mcp.opencaselaw.ch/entscheid/sg_publikationen_IV 2009_222</w:t>
      </w:r>
    </w:p>
    <w:p>
      <w:r>
        <w:t>FR: SG_VERSICHERUNGSGERICHT IV 2009/222 du 4 mai 2011</w:t>
      </w:r>
    </w:p>
    <w:p>
      <w:r>
        <w:t>IT: SG_VERSICHERUNGSGERICHT IV 2009/222 del 4 maggio 2011</w:t>
      </w:r>
    </w:p>
    <w:p>
      <w:pPr>
        <w:pStyle w:val="Heading2"/>
      </w:pPr>
      <w:r>
        <w:t>Regeste</w:t>
      </w:r>
    </w:p>
    <w:p>
      <w:r>
        <w:t>Art. 28 IVG. Rentenanspruch. Beweiswürdigung Gutachten. Mangelhafte interdisziplinäre Beurteilung der Arbeitsfähigkeit. Vorliegend wurde keine Abstimmung und Diskussion zwischen den Erkenntnissen aus der somatischen und jenen aus der psychiatrischen Untersuchung vorgenommen. Rückweisung zur weiteren medizinischen Abklärung. Bei der Bestimmung des Leidensabzugs sind auch invaliditätsfremde Aspekte zu berücksichtigen (Entscheid des Versicherungsgerichts des Kantons St. Gallen vom 4. Mai 2011, IV 2009/222).</w:t>
      </w:r>
    </w:p>
    <w:p>
      <w:pPr>
        <w:pStyle w:val="Heading2"/>
      </w:pPr>
      <w:r>
        <w:t>Erwägungen</w:t>
      </w:r>
    </w:p>
    <w:p>
      <w:r>
        <w:rPr>
          <w:b/>
        </w:rPr>
        <w:t>E. 1</w:t>
      </w:r>
    </w:p>
    <w:p>
      <w:r>
        <w:t>Zwischen den Parteien ist der Anspruch des Beschwerdeführers auf Rentenleistungen streitig.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14. Mai 2009 (act. G 4.1.94)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1.2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 1.5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 Kieser, ATSG-Kommentar, 2. Auflage, Zürich 2009, N 62 zu Art. 61).</w:t>
      </w:r>
    </w:p>
    <w:p>
      <w:r>
        <w:rPr>
          <w:b/>
        </w:rPr>
        <w:t>E. 2</w:t>
      </w:r>
    </w:p>
    <w:p>
      <w:r>
        <w:t>Zu klären ist vorweg die Frage, ob die medizinische Aktenlage eine rechtsgenügliche Beurteilung der Restarbeitsfähigkeit des Beschwerdeführers erlaubt. Die Beschwerdegegnerin stützte die angefochtene Verfügung auf das orthopädische Gutachten vom 27. Juli 2007 (act. G 4.1.53-1 ff.) und das psychiatrische Gutachten vom 30. Juni 2007 (act. G 4.1.53-10 ff.). Der Beschwerdeführer hält diese gutachterliche Beurteilung für nicht beweiskräftig (act. G 1). 2.1    Bei der Würdigung der gutachterlichen Beurteilung fällt zunächst auf, dass die Gesamtbeurteilung der Arbeitsfähigkeit im Gutachten vom 27. Juli 2007 dem Zweck einer interdisziplinären Begutachtung nicht gerecht wird. Dieser besteht gerade darin, alle relevanten Gesundheitsschädigungen zu erfassen und die daraus jeweils abgeleiteten Einflüsse auf die Arbeitsfähigkeit würdigend in einem Gesamtergebnis auszudrücken. Eine einfache Addition verschiedener Teilarbeitsunfähigkeiten kann je nach den konkreten Fallmerkmalen ein zu hohes oder aber auch zu niedriges Ergebnis zeitigen (SVR 2008 IV Nr. 15 S. 44 E. 2.1). Entsprechend vermag bei mehreren fachärztlich ausgewiesenen Teilarbeitsunfähigkeiten das isolierte Abstellen lediglich auf die Teilarbeitsunfähigkeit einer Fachdisziplin ohne nähere Auseinandersetzung und Diskussion des Verhältnisses zu den übrigen Teilarbeitsunfähigkeiten nicht zu überzeugen. Vorliegend diskutierten die Gutachter nicht, ob und inwiefern sich die in den jeweiligen Fachgebieten geschätzten Teilarbeitsunfähigkeiten überschneiden bzw. die Gesamtbeurteilung beeinflussen. Vielmehr stellten sie ohne jegliche Begründung bei der Beurteilung der Arbeitsfähigkeit in der angestammten Tätigkeit allein auf die vom orthopädischen Gutachter vertretene Auffassung ab (60% Arbeitsunfähigkeit), während bei der Bestimmung der Arbeitsfähigkeit in leidensadaptierten Tätigkeiten dann wieder allein auf die psychiatrische Einschätzung verwiesen wird (75%ige Arbeitsfähigkeit, act. G 4.1.53-9). Damit bringen die Gutachter zum Ausdruck, dass die psychischen Beschwerden bei der Beurteilung der Arbeitsfähigkeit in der angestammten Tätigkeit vollständig durch die somatischen Beeinträchtigungen konsumiert werden. Im Gegensatz hierzu lassen sie aber dann die somatischen Beschwerden bei der Einschätzung der Arbeitsfähigkeit für leidensangepasste Tätigkeiten vollständig durch die psychischen Beschwerden konsumieren. Dies erscheint ohne nähere Begründung indessen nicht nachvollziehbar und es ist damit zu beanstanden, dass keine fassbare Abstimmung und Diskussion zwischen den Erkenntnissen aus der somatischen und jenen aus der psychiatrischen Untersuchung stattgefunden hat. Damit geht einher, dass die gesamtgutachterliche Beurteilung vom psychiatrischen Experten nicht unterzeichnet worden ist (vgl. act. G 4.1.53-9). 2.2    Die isolierte Betrachtungsweise wird durch das psychiatrische Gutachten vom 30. Juni 2007 erhärtet. So erfolgten die psychiatrische Begutachtung vom 7. Mai 2007 und die darin diagnostizierte somatoforme Schmerzstörung offenbar ohne genügende Berücksichtigung der von Dr. E.___ erhobenen somatischen Grundlage. So kam der orthopädische Gutachter zum Schluss, dass die vom Beschwerdeführer geklagten Schmerzen grösstenteils (lumbale Schmerzen, Nacken- und HWS-Schmerzen) durch objektive Befunde erklärt, mithin auf eine organische Grundlage zurückgeführt werden können. Lediglich die - nicht im Vordergrund stehenden - Schmerzen in den Unterschenkeln und Füssen hätten nicht plausibilisiert werden können (act. G 4.1.53-6). Demgegenüber stützte sich der psychiatrische Gutachter im Wesentlichen auf Vorakten, die eine Objektivierbarkeit der Beschwerden verneinten (act. G 4.1.53-11). Es bestehen daher erhebliche Zweifel an der vom psychiatrischen Gutachter gestellten Diagnose einer somatoformen Schmerzstörung, zumal er diese rundweg auf "die beschriebenen Diskrepanzen zwischen objektivierbaren Befunden und subjektivem Leidensempfinden des Versicherten" stützte (act. G 4.1.53-17) und diese Auffassung nicht ohne Weiteres mit den Ausführungen von Dr. E.___ zu vereinbaren ist. 2.3    Mit Blick auf die von Dr. med. H.___, Facharzt für Neurologie FMH, im Bericht vom 18. August 2006 beschriebenen "chronifizierten Spannungskopfschmerzen" (act. G 4.1.21; zu den auch anlässlich der psychiatrischen Begutachtung geschilderten Kopfschmerzen vgl. act. G 4.1.53-14) wirft die Diagnose einer somatoformen Schmerzstörung ohnehin Fragen auf. Denn Spannungskopfschmerzen bilden ein Ausschlusskriterium für die Diagnose einer somatoformen Schmerzstörung (H. Dilling/H. J. Frey-berger [Hrsg.], Taschenführer zur ICD-10-Klassifikation psychischer Störungen, 4. Auflage, Bern 2008, S. 195). Zumindest wäre aufgrund der in den Akten ausgewiesenen Spannungskopfschmerzen vom psychiatrischen Gutachter fassbar darzulegen gewesen, weshalb er trotz Vorliegens eines Ausschlusskriteriums zur Diagnose einer somatoformen Schmerzstörung gelangt. 2.4    Zusammenfassend fehlt es für die Beurteilung des Rentenanspruchs bereits aus den genannten Gründen an einer aussagekräftigen interdisziplinären medizinischen Grundlage. Es kann daher offen gelassen werden, ob die weiteren gegen das Gutachten der Dres. E.___ und F.___ vorgebrachten Rügen des Beschwerdeführers (etwa, dass die Begutachtung im Zeitpunkt der angefochtenen Verfügung bereits rund zwei Jahre zurücklag, act. G 1) stichhaltig sind. Die Sache ist daher an die Beschwerdegegnerin zur Vornahme einer interdisziplinären Begutachtung durch eine MEDAS zurückzuweisen. In der Folge wird die Beschwerdegegnerin über den Leistungsanspruch des Beschwerdeführers neu zu verfügen haben. 2.5    Bei diesem Verfahrensausgang erübrigen sich Weiterungen zur Bestimmung der Vergleichseinkommen. Die Auffassung der Beschwerdegegnerin, dass invaliditätsfremde Faktoren bei der Bestimmung des Leidensabzugs von vornherein keine Berücksichtigung fänden (act. G 4.1.94 und G 4, S. 6), bedarf indessen bereits an dieser Stelle einer Korrektur. Die Beschwerdegegnerin verweist zur Untermauerung ihres Standpunktes einzig auf die in "AHI-Praxis 1999 S. 237 f." publizierte höchstrichterliche Praxis. Dabei ist festzustellen, dass die von der Beschwerdegegnerin ins Feld geführte Rechtsprechung nicht einschlägig ist. Denn das damalige EVG hatte nicht zu beurteilen, ob der Faktor Alter bzw. invaliditätsfremde Aspekte beim Leidensabzug zu berücksichtigen sind oder nicht. Es hatte sich lediglich mit der Frage auseinanderzusetzen, ob "nebst" dem gewährten Leidensabzug von 25% ein weiterer Abzug vom Invalideneinkommen wegen des fortgeschrittenen Alters vorgenommen werden kann. Lediglich diese Frage wurde verneint (AHI Praxis 1999 S. 242 E. 4c). Im Übrigen hat das Bundesgericht die bisherige konstante Praxis (BGE 126 V 79 E. 5b, bestätigt etwa in AHI 2002 S. 62 und BGE 129 V 481 E. 4.2.3 mit Hinweisen) bestätigt, wonach bei der Bemessung des Leidensabzuges auch invaliditätsfremde Faktoren berücksichtigt werden können (vgl. Urteil des Bundesgerichts vom 30. September 2008, 9C_677/08).</w:t>
      </w:r>
    </w:p>
    <w:p>
      <w:r>
        <w:rPr>
          <w:b/>
        </w:rPr>
        <w:t>E. 3</w:t>
      </w:r>
    </w:p>
    <w:p>
      <w:r>
        <w:t>3.1    In teilweiser Gutheissung der Beschwerde ist die angefochtene Verfügung vom 14. Mai 2009 aufzuheben. Die Sache ist zur ergänzenden Abklärung und zu neuer Verfügung im Sinn der Erwägungen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des Beschwerdeführers von Fr. 600.-- ist ihm zurückzuerstatten. 3.3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teilweiser Gutheissung der Beschwerde wird die angefochtene Verfügung vom 14. Mai 2009 aufgehoben. Die Sache wird zur ergänzenden Abklärung und zu neuer Verfügung im Sinn der Erwägungen an die Beschwerdegegnerin zurückgewiesen. 2.       Die Beschwerdegegnerin bezahlt eine Gerichtsgebühr von Fr. 600.--. Dem Beschwerdeführer wird der geleistete Kostenvorschuss von Fr. 600.--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